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2" w:rsidRDefault="00CA3582" w:rsidP="00046D1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046D13" w:rsidRPr="00046D13" w:rsidRDefault="00046D13" w:rsidP="00046D1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46D13">
        <w:rPr>
          <w:b/>
          <w:bCs/>
          <w:sz w:val="28"/>
          <w:szCs w:val="28"/>
        </w:rPr>
        <w:t>Красноярский край</w:t>
      </w:r>
    </w:p>
    <w:p w:rsidR="00046D13" w:rsidRPr="00046D13" w:rsidRDefault="00046D13" w:rsidP="00046D1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46D13">
        <w:rPr>
          <w:b/>
          <w:bCs/>
          <w:sz w:val="28"/>
          <w:szCs w:val="28"/>
        </w:rPr>
        <w:t>Березовский район</w:t>
      </w:r>
    </w:p>
    <w:p w:rsidR="00046D13" w:rsidRPr="00046D13" w:rsidRDefault="00046D13" w:rsidP="00046D1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46D13">
        <w:rPr>
          <w:b/>
          <w:bCs/>
          <w:sz w:val="28"/>
          <w:szCs w:val="28"/>
        </w:rPr>
        <w:t>АДМИНИСТРАЦИЯ МАГАНСКОГО СЕЛЬСОВЕТА</w:t>
      </w:r>
    </w:p>
    <w:p w:rsidR="00046D13" w:rsidRPr="00046D13" w:rsidRDefault="00046D13" w:rsidP="00046D1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046D13" w:rsidRPr="00046D13" w:rsidRDefault="00046D13" w:rsidP="00046D1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proofErr w:type="gramStart"/>
      <w:r w:rsidRPr="00046D13">
        <w:rPr>
          <w:b/>
          <w:bCs/>
          <w:sz w:val="32"/>
          <w:szCs w:val="32"/>
        </w:rPr>
        <w:t>Р</w:t>
      </w:r>
      <w:proofErr w:type="gramEnd"/>
      <w:r w:rsidRPr="00046D13">
        <w:rPr>
          <w:b/>
          <w:bCs/>
          <w:sz w:val="32"/>
          <w:szCs w:val="32"/>
        </w:rPr>
        <w:t xml:space="preserve"> А С П О Р Я Ж Е Н И Е</w:t>
      </w:r>
    </w:p>
    <w:p w:rsidR="00046D13" w:rsidRPr="00046D13" w:rsidRDefault="00046D13" w:rsidP="00046D1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046D13" w:rsidRPr="00046D13" w:rsidRDefault="00657554" w:rsidP="00046D13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</w:t>
      </w:r>
      <w:r w:rsidR="00B6110B">
        <w:rPr>
          <w:bCs/>
          <w:sz w:val="28"/>
          <w:szCs w:val="28"/>
        </w:rPr>
        <w:t>4</w:t>
      </w:r>
      <w:r w:rsidR="00046D13" w:rsidRPr="00046D13">
        <w:rPr>
          <w:bCs/>
          <w:sz w:val="28"/>
          <w:szCs w:val="28"/>
        </w:rPr>
        <w:t>»</w:t>
      </w:r>
      <w:r w:rsidR="0039130E">
        <w:rPr>
          <w:bCs/>
          <w:sz w:val="28"/>
          <w:szCs w:val="28"/>
        </w:rPr>
        <w:t xml:space="preserve">  августа </w:t>
      </w:r>
      <w:r w:rsidR="00046D13" w:rsidRPr="00046D13">
        <w:rPr>
          <w:bCs/>
          <w:sz w:val="28"/>
          <w:szCs w:val="28"/>
        </w:rPr>
        <w:t xml:space="preserve"> 2020          </w:t>
      </w:r>
      <w:r w:rsidR="00B6110B">
        <w:rPr>
          <w:bCs/>
          <w:sz w:val="28"/>
          <w:szCs w:val="28"/>
        </w:rPr>
        <w:t xml:space="preserve">    </w:t>
      </w:r>
      <w:r w:rsidR="00046D13" w:rsidRPr="00046D13">
        <w:rPr>
          <w:bCs/>
          <w:sz w:val="28"/>
          <w:szCs w:val="28"/>
        </w:rPr>
        <w:t xml:space="preserve">       с. Маганск          </w:t>
      </w:r>
      <w:r>
        <w:rPr>
          <w:bCs/>
          <w:sz w:val="28"/>
          <w:szCs w:val="28"/>
        </w:rPr>
        <w:t xml:space="preserve">             </w:t>
      </w:r>
      <w:r w:rsidR="00B6110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№ 2</w:t>
      </w:r>
      <w:r w:rsidR="00B6110B">
        <w:rPr>
          <w:bCs/>
          <w:sz w:val="28"/>
          <w:szCs w:val="28"/>
        </w:rPr>
        <w:t>6</w:t>
      </w:r>
    </w:p>
    <w:p w:rsidR="009B6389" w:rsidRDefault="009B6389" w:rsidP="006D1620">
      <w:pPr>
        <w:jc w:val="center"/>
        <w:rPr>
          <w:noProof/>
        </w:rPr>
      </w:pPr>
    </w:p>
    <w:p w:rsidR="00046D13" w:rsidRDefault="00046D13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1B7A" wp14:editId="38E40BD6">
                <wp:simplePos x="0" y="0"/>
                <wp:positionH relativeFrom="column">
                  <wp:posOffset>-123825</wp:posOffset>
                </wp:positionH>
                <wp:positionV relativeFrom="paragraph">
                  <wp:posOffset>114934</wp:posOffset>
                </wp:positionV>
                <wp:extent cx="3095625" cy="19907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Pr="00046D13" w:rsidRDefault="00FC2AB4" w:rsidP="00FC2AB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46D13">
                              <w:rPr>
                                <w:sz w:val="28"/>
                                <w:szCs w:val="28"/>
                              </w:rPr>
                              <w:t>Об утверждении плана мероприятий («дорожной карты») по заключению концессионных соглашений в отношении систем коммунальной инфраструктуры в сфере водоснабжения, водоотведения муниципального образования</w:t>
                            </w:r>
                            <w:r w:rsidR="00046D13" w:rsidRPr="00046D13">
                              <w:rPr>
                                <w:sz w:val="28"/>
                                <w:szCs w:val="28"/>
                              </w:rPr>
                              <w:t xml:space="preserve"> Маганский сельсовет </w:t>
                            </w:r>
                            <w:r w:rsidRPr="00046D13">
                              <w:rPr>
                                <w:sz w:val="28"/>
                                <w:szCs w:val="28"/>
                              </w:rPr>
                              <w:t xml:space="preserve"> и передаче указанных объектов в концессию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05pt;width:243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" fillcolor="white [3201]" stroked="f" strokeweight=".5pt">
                <v:textbox>
                  <w:txbxContent>
                    <w:p w:rsidR="002452B5" w:rsidRPr="00046D13" w:rsidRDefault="00FC2AB4" w:rsidP="00FC2AB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46D13">
                        <w:rPr>
                          <w:sz w:val="28"/>
                          <w:szCs w:val="28"/>
                        </w:rPr>
                        <w:t>Об утверждении плана мероприятий («дорожной карты») по заключению концессионных соглашений в отношении систем коммунальной инфраструктуры в сфере водоснабжения, водоотведения муниципального образования</w:t>
                      </w:r>
                      <w:r w:rsidR="00046D13" w:rsidRPr="00046D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46D13" w:rsidRPr="00046D13">
                        <w:rPr>
                          <w:sz w:val="28"/>
                          <w:szCs w:val="28"/>
                        </w:rPr>
                        <w:t>Маганский</w:t>
                      </w:r>
                      <w:proofErr w:type="spellEnd"/>
                      <w:r w:rsidR="00046D13" w:rsidRPr="00046D13">
                        <w:rPr>
                          <w:sz w:val="28"/>
                          <w:szCs w:val="28"/>
                        </w:rPr>
                        <w:t xml:space="preserve"> сельсовет </w:t>
                      </w:r>
                      <w:r w:rsidRPr="00046D13">
                        <w:rPr>
                          <w:sz w:val="28"/>
                          <w:szCs w:val="28"/>
                        </w:rPr>
                        <w:t xml:space="preserve"> и передаче </w:t>
                      </w:r>
                      <w:bookmarkStart w:id="1" w:name="_GoBack"/>
                      <w:r w:rsidRPr="00046D13">
                        <w:rPr>
                          <w:sz w:val="28"/>
                          <w:szCs w:val="28"/>
                        </w:rPr>
                        <w:t>указанных объектов в концессию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B75586" w:rsidRDefault="00B75586" w:rsidP="000D755F">
      <w:pPr>
        <w:jc w:val="both"/>
        <w:rPr>
          <w:noProof/>
        </w:rPr>
      </w:pPr>
    </w:p>
    <w:p w:rsidR="00046D13" w:rsidRDefault="00046D13" w:rsidP="000D755F">
      <w:pPr>
        <w:jc w:val="both"/>
        <w:rPr>
          <w:noProof/>
        </w:rPr>
      </w:pPr>
    </w:p>
    <w:p w:rsidR="00EB7088" w:rsidRPr="00B57A79" w:rsidRDefault="00EB7088" w:rsidP="000D755F">
      <w:pPr>
        <w:jc w:val="both"/>
        <w:rPr>
          <w:noProof/>
        </w:rPr>
      </w:pPr>
    </w:p>
    <w:p w:rsidR="00046D13" w:rsidRPr="00046D13" w:rsidRDefault="009B6389" w:rsidP="000D755F">
      <w:pPr>
        <w:jc w:val="both"/>
        <w:rPr>
          <w:noProof/>
          <w:sz w:val="28"/>
          <w:szCs w:val="28"/>
        </w:rPr>
      </w:pPr>
      <w:r w:rsidRPr="00B57A79">
        <w:rPr>
          <w:noProof/>
        </w:rPr>
        <w:tab/>
      </w:r>
      <w:r w:rsidR="00FC2AB4" w:rsidRPr="00046D13">
        <w:rPr>
          <w:noProof/>
          <w:sz w:val="28"/>
          <w:szCs w:val="28"/>
        </w:rPr>
        <w:t xml:space="preserve">В соответствии с Федеральным законом от 21.07.2005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потребителям, руководствуясь уставом  муниципального образования </w:t>
      </w:r>
      <w:r w:rsidR="00046D13">
        <w:rPr>
          <w:noProof/>
          <w:sz w:val="28"/>
          <w:szCs w:val="28"/>
        </w:rPr>
        <w:t>Маганский сельсовет, РАСПОРЯЖАЮСЬ:</w:t>
      </w:r>
    </w:p>
    <w:p w:rsidR="009B6389" w:rsidRPr="00046D13" w:rsidRDefault="009B6389" w:rsidP="006D1620">
      <w:pPr>
        <w:jc w:val="both"/>
        <w:rPr>
          <w:b/>
          <w:noProof/>
          <w:sz w:val="28"/>
          <w:szCs w:val="28"/>
        </w:rPr>
      </w:pPr>
    </w:p>
    <w:p w:rsidR="00FC2AB4" w:rsidRPr="00046D13" w:rsidRDefault="00046D13" w:rsidP="00FC2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AB4" w:rsidRPr="00046D13">
        <w:rPr>
          <w:sz w:val="28"/>
          <w:szCs w:val="28"/>
        </w:rPr>
        <w:t>1. Утвердить план мероприятий («дорожную карту») по заключению концессионных соглашений в отношении систем коммунальной инфраструктуры в сфере водоснабжения, водоотведения и передаче указанных объектов в концессию (Приложение).</w:t>
      </w:r>
    </w:p>
    <w:p w:rsidR="00FC2AB4" w:rsidRPr="00046D13" w:rsidRDefault="00046D13" w:rsidP="00FC2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AB4" w:rsidRPr="00046D13">
        <w:rPr>
          <w:sz w:val="28"/>
          <w:szCs w:val="28"/>
        </w:rPr>
        <w:t>2. </w:t>
      </w:r>
      <w:proofErr w:type="gramStart"/>
      <w:r w:rsidR="00FC2AB4" w:rsidRPr="00046D13">
        <w:rPr>
          <w:sz w:val="28"/>
          <w:szCs w:val="28"/>
        </w:rPr>
        <w:t>Ра</w:t>
      </w:r>
      <w:r>
        <w:rPr>
          <w:sz w:val="28"/>
          <w:szCs w:val="28"/>
        </w:rPr>
        <w:t>зместить</w:t>
      </w:r>
      <w:proofErr w:type="gramEnd"/>
      <w:r>
        <w:rPr>
          <w:sz w:val="28"/>
          <w:szCs w:val="28"/>
        </w:rPr>
        <w:t xml:space="preserve"> настоящее распоряжение </w:t>
      </w:r>
      <w:r w:rsidR="00FC2AB4" w:rsidRPr="00046D13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Маганский сельсовет</w:t>
      </w:r>
      <w:r w:rsidR="00FC2AB4" w:rsidRPr="00046D13">
        <w:rPr>
          <w:sz w:val="28"/>
          <w:szCs w:val="28"/>
        </w:rPr>
        <w:t xml:space="preserve"> в сети Интернет и опубликовать в газете «</w:t>
      </w:r>
      <w:r>
        <w:rPr>
          <w:sz w:val="28"/>
          <w:szCs w:val="28"/>
        </w:rPr>
        <w:t>Ведомости органов местного самоуправления Маганского сельсовета</w:t>
      </w:r>
      <w:r w:rsidR="00FC2AB4" w:rsidRPr="00046D13">
        <w:rPr>
          <w:sz w:val="28"/>
          <w:szCs w:val="28"/>
        </w:rPr>
        <w:t>».</w:t>
      </w:r>
    </w:p>
    <w:p w:rsidR="00FC2AB4" w:rsidRPr="00046D13" w:rsidRDefault="00046D13" w:rsidP="00FC2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 распоряжение </w:t>
      </w:r>
      <w:r w:rsidR="00FC2AB4" w:rsidRPr="00046D13">
        <w:rPr>
          <w:sz w:val="28"/>
          <w:szCs w:val="28"/>
        </w:rPr>
        <w:t xml:space="preserve"> вступает в силу со дня его опубликования.</w:t>
      </w:r>
    </w:p>
    <w:p w:rsidR="00FC2AB4" w:rsidRPr="00046D13" w:rsidRDefault="00046D13" w:rsidP="00FC2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2AB4" w:rsidRPr="00046D13">
        <w:rPr>
          <w:sz w:val="28"/>
          <w:szCs w:val="28"/>
        </w:rPr>
        <w:t xml:space="preserve">4. </w:t>
      </w:r>
      <w:proofErr w:type="gramStart"/>
      <w:r w:rsidR="00FC2AB4" w:rsidRPr="00046D13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  <w:r w:rsidR="00FC2AB4" w:rsidRPr="00046D13">
        <w:rPr>
          <w:sz w:val="28"/>
          <w:szCs w:val="28"/>
        </w:rPr>
        <w:t> </w:t>
      </w:r>
    </w:p>
    <w:p w:rsidR="00FC2AB4" w:rsidRPr="00046D13" w:rsidRDefault="00FC2AB4" w:rsidP="00FC2AB4">
      <w:pPr>
        <w:jc w:val="both"/>
        <w:rPr>
          <w:sz w:val="28"/>
          <w:szCs w:val="28"/>
        </w:rPr>
      </w:pPr>
    </w:p>
    <w:p w:rsidR="00972DBB" w:rsidRPr="00046D13" w:rsidRDefault="00046D13" w:rsidP="00FC2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AB4" w:rsidRPr="00054CE9" w:rsidRDefault="00046D13" w:rsidP="00FC2AB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сельсовета</w:t>
      </w:r>
      <w:r w:rsidR="00FC2AB4" w:rsidRPr="00046D13">
        <w:rPr>
          <w:sz w:val="28"/>
          <w:szCs w:val="28"/>
        </w:rPr>
        <w:t xml:space="preserve"> </w:t>
      </w:r>
      <w:r w:rsidR="00FC2AB4" w:rsidRPr="00046D13">
        <w:rPr>
          <w:sz w:val="28"/>
          <w:szCs w:val="28"/>
        </w:rPr>
        <w:tab/>
      </w:r>
      <w:r w:rsidR="00FC2AB4" w:rsidRPr="00046D13">
        <w:rPr>
          <w:sz w:val="28"/>
          <w:szCs w:val="28"/>
        </w:rPr>
        <w:tab/>
      </w:r>
      <w:r w:rsidR="00FC2AB4" w:rsidRPr="00046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Е.В.</w:t>
      </w:r>
      <w:r w:rsidR="00B6110B">
        <w:rPr>
          <w:sz w:val="28"/>
          <w:szCs w:val="28"/>
        </w:rPr>
        <w:t xml:space="preserve"> </w:t>
      </w:r>
      <w:r>
        <w:rPr>
          <w:sz w:val="28"/>
          <w:szCs w:val="28"/>
        </w:rPr>
        <w:t>Авдеева</w:t>
      </w:r>
      <w:r w:rsidR="00FC2AB4" w:rsidRPr="00046D13">
        <w:rPr>
          <w:sz w:val="28"/>
          <w:szCs w:val="28"/>
        </w:rPr>
        <w:tab/>
      </w: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2AB4" w:rsidRDefault="00FC2AB4" w:rsidP="00FC2A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2DBB" w:rsidRDefault="00972DBB" w:rsidP="00FC2AB4">
      <w:pPr>
        <w:rPr>
          <w:sz w:val="20"/>
          <w:szCs w:val="20"/>
        </w:rPr>
      </w:pPr>
    </w:p>
    <w:p w:rsidR="00972DBB" w:rsidRDefault="00972DBB" w:rsidP="00FC2AB4">
      <w:pPr>
        <w:sectPr w:rsidR="00972DBB" w:rsidSect="00046D13">
          <w:pgSz w:w="11906" w:h="16838"/>
          <w:pgMar w:top="567" w:right="850" w:bottom="1134" w:left="1260" w:header="708" w:footer="708" w:gutter="0"/>
          <w:cols w:space="708"/>
          <w:docGrid w:linePitch="360"/>
        </w:sectPr>
      </w:pPr>
    </w:p>
    <w:tbl>
      <w:tblPr>
        <w:tblW w:w="20413" w:type="dxa"/>
        <w:tblInd w:w="-601" w:type="dxa"/>
        <w:tblLook w:val="00A0" w:firstRow="1" w:lastRow="0" w:firstColumn="1" w:lastColumn="0" w:noHBand="0" w:noVBand="0"/>
      </w:tblPr>
      <w:tblGrid>
        <w:gridCol w:w="10207"/>
        <w:gridCol w:w="5953"/>
        <w:gridCol w:w="4253"/>
      </w:tblGrid>
      <w:tr w:rsidR="00972DBB" w:rsidTr="000A33FB">
        <w:tc>
          <w:tcPr>
            <w:tcW w:w="10207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</w:tr>
      <w:tr w:rsidR="00972DBB" w:rsidTr="000A33FB">
        <w:tc>
          <w:tcPr>
            <w:tcW w:w="10207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72DBB" w:rsidRPr="00944C03" w:rsidRDefault="00972DBB" w:rsidP="000A33FB">
            <w:pPr>
              <w:jc w:val="both"/>
            </w:pPr>
            <w:r w:rsidRPr="00944C03">
              <w:t>Приложение</w:t>
            </w:r>
          </w:p>
          <w:p w:rsidR="00972DBB" w:rsidRPr="00046D13" w:rsidRDefault="00046D13" w:rsidP="00B6110B">
            <w:pPr>
              <w:jc w:val="both"/>
            </w:pPr>
            <w:r>
              <w:t>к распоряжению</w:t>
            </w:r>
            <w:r w:rsidR="00972DBB" w:rsidRPr="00944C03">
              <w:t xml:space="preserve"> администрации </w:t>
            </w:r>
            <w:r>
              <w:t xml:space="preserve">Маганского сельсовета  </w:t>
            </w:r>
            <w:r w:rsidR="00972DBB" w:rsidRPr="00944C03">
              <w:t xml:space="preserve">от </w:t>
            </w:r>
            <w:r w:rsidR="00657554">
              <w:t>«0</w:t>
            </w:r>
            <w:r w:rsidR="00B6110B">
              <w:t>4</w:t>
            </w:r>
            <w:r>
              <w:t>»</w:t>
            </w:r>
            <w:r w:rsidR="00657554">
              <w:t xml:space="preserve">  августа 2</w:t>
            </w:r>
            <w:r>
              <w:t>020</w:t>
            </w:r>
            <w:r w:rsidR="00972DBB" w:rsidRPr="00944C03">
              <w:t xml:space="preserve"> №</w:t>
            </w:r>
            <w:r w:rsidR="00657554">
              <w:t xml:space="preserve"> 2</w:t>
            </w:r>
            <w:r w:rsidR="00B6110B">
              <w:t>6</w:t>
            </w:r>
            <w:bookmarkStart w:id="0" w:name="_GoBack"/>
            <w:bookmarkEnd w:id="0"/>
          </w:p>
        </w:tc>
        <w:tc>
          <w:tcPr>
            <w:tcW w:w="4253" w:type="dxa"/>
          </w:tcPr>
          <w:p w:rsidR="00972DBB" w:rsidRPr="00727246" w:rsidRDefault="00972DBB" w:rsidP="000A33FB">
            <w:pPr>
              <w:jc w:val="both"/>
              <w:rPr>
                <w:sz w:val="28"/>
                <w:szCs w:val="28"/>
              </w:rPr>
            </w:pPr>
          </w:p>
        </w:tc>
      </w:tr>
    </w:tbl>
    <w:p w:rsidR="00972DBB" w:rsidRDefault="00972DBB" w:rsidP="00972DBB">
      <w:pPr>
        <w:jc w:val="center"/>
        <w:rPr>
          <w:sz w:val="28"/>
          <w:szCs w:val="28"/>
        </w:rPr>
      </w:pPr>
    </w:p>
    <w:p w:rsidR="00972DBB" w:rsidRPr="00D90791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ПЛАН МЕРОПРИЯТИЙ («ДОРОЖНАЯ КАРТА»)</w:t>
      </w:r>
    </w:p>
    <w:p w:rsidR="00972DBB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по заключению концессионног</w:t>
      </w:r>
      <w:r>
        <w:rPr>
          <w:sz w:val="28"/>
          <w:szCs w:val="28"/>
        </w:rPr>
        <w:t>о соглашения в отношении систем</w:t>
      </w:r>
    </w:p>
    <w:p w:rsidR="00972DBB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коммунальной инфраструктуры</w:t>
      </w:r>
      <w:r w:rsidRPr="00525D5C">
        <w:rPr>
          <w:sz w:val="28"/>
          <w:szCs w:val="28"/>
        </w:rPr>
        <w:t xml:space="preserve"> </w:t>
      </w:r>
      <w:r w:rsidRPr="00D90791">
        <w:rPr>
          <w:sz w:val="28"/>
          <w:szCs w:val="28"/>
        </w:rPr>
        <w:t>в сфере водоснабжения</w:t>
      </w:r>
      <w:r>
        <w:rPr>
          <w:sz w:val="28"/>
          <w:szCs w:val="28"/>
        </w:rPr>
        <w:t>, водоотведения и</w:t>
      </w:r>
    </w:p>
    <w:p w:rsidR="00972DBB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указанных объектов в концессию</w:t>
      </w:r>
    </w:p>
    <w:p w:rsidR="00972DBB" w:rsidRPr="00D90791" w:rsidRDefault="00972DBB" w:rsidP="00972DBB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929"/>
        <w:gridCol w:w="2896"/>
        <w:gridCol w:w="2491"/>
        <w:gridCol w:w="2843"/>
      </w:tblGrid>
      <w:tr w:rsidR="00972DBB" w:rsidRPr="00D90791" w:rsidTr="000A33FB">
        <w:tc>
          <w:tcPr>
            <w:tcW w:w="576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№ </w:t>
            </w:r>
            <w:proofErr w:type="spellStart"/>
            <w:r w:rsidRPr="00D90791">
              <w:t>пп</w:t>
            </w:r>
            <w:proofErr w:type="spellEnd"/>
          </w:p>
        </w:tc>
        <w:tc>
          <w:tcPr>
            <w:tcW w:w="6929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>Наименование мероприятия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Срок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Документация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>Нормативный правовой акт</w:t>
            </w:r>
          </w:p>
        </w:tc>
      </w:tr>
      <w:tr w:rsidR="00972DBB" w:rsidRPr="00D90791" w:rsidTr="000A33FB">
        <w:trPr>
          <w:trHeight w:val="301"/>
        </w:trPr>
        <w:tc>
          <w:tcPr>
            <w:tcW w:w="576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</w:p>
        </w:tc>
        <w:tc>
          <w:tcPr>
            <w:tcW w:w="6929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>2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3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4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>5</w:t>
            </w:r>
          </w:p>
        </w:tc>
      </w:tr>
      <w:tr w:rsidR="00972DBB" w:rsidRPr="00D90791" w:rsidTr="000A33FB">
        <w:tc>
          <w:tcPr>
            <w:tcW w:w="15735" w:type="dxa"/>
            <w:gridSpan w:val="5"/>
          </w:tcPr>
          <w:p w:rsidR="00972DBB" w:rsidRPr="00D90791" w:rsidRDefault="00972DBB" w:rsidP="000A33FB">
            <w:pPr>
              <w:jc w:val="center"/>
            </w:pPr>
            <w:r w:rsidRPr="00D90791">
              <w:rPr>
                <w:lang w:val="en-US"/>
              </w:rPr>
              <w:t>I</w:t>
            </w:r>
            <w:r w:rsidRPr="00D90791">
              <w:t>. Подготовительные мероприятия к заключению концессионного соглашения в общем порядке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Формирование перечня объектов</w:t>
            </w:r>
            <w:r w:rsidRPr="00D90791">
              <w:rPr>
                <w:szCs w:val="20"/>
              </w:rPr>
              <w:t xml:space="preserve"> </w:t>
            </w:r>
            <w:r w:rsidRPr="00D90791">
              <w:t>концессионного соглашения (</w:t>
            </w:r>
            <w:r w:rsidRPr="00D90791">
              <w:rPr>
                <w:i/>
              </w:rPr>
              <w:t>далее - КС</w:t>
            </w:r>
            <w:r w:rsidRPr="00D90791">
              <w:t>):</w:t>
            </w:r>
          </w:p>
          <w:p w:rsidR="00972DBB" w:rsidRPr="00D90791" w:rsidRDefault="00972DBB" w:rsidP="000A33FB">
            <w:pPr>
              <w:jc w:val="both"/>
            </w:pPr>
            <w:r w:rsidRPr="00D90791">
              <w:t>1. Недвижимого имущества с оформлением/регистрацией права муниципальной собственности и права хозяйственного ведения;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>2. Движимого имущества, необходимого для производственной</w:t>
            </w:r>
            <w:r>
              <w:t xml:space="preserve"> </w:t>
            </w:r>
            <w:r w:rsidRPr="00D90791">
              <w:t>(коммунальной) деятельности</w:t>
            </w:r>
          </w:p>
          <w:p w:rsidR="00972DBB" w:rsidRPr="00D90791" w:rsidRDefault="00972DBB" w:rsidP="000A33FB">
            <w:pPr>
              <w:jc w:val="both"/>
            </w:pPr>
            <w:r w:rsidRPr="00D90791">
              <w:t>Необходимые мероприятия: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анализ правоустанавливающих документов;  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техническая инвентаризация объектов недвижимости; 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постановка на кадастровый учет (получение кадастрового паспорта)</w:t>
            </w:r>
            <w:r>
              <w:t xml:space="preserve"> при необходимости</w:t>
            </w:r>
            <w:r w:rsidRPr="00D90791">
              <w:t>;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получение свидетельства о регистрации права собственности</w:t>
            </w:r>
            <w:r>
              <w:t xml:space="preserve"> (при необходимости)</w:t>
            </w:r>
            <w:r w:rsidRPr="00D90791">
              <w:t xml:space="preserve">, </w:t>
            </w:r>
          </w:p>
          <w:p w:rsidR="00972DBB" w:rsidRPr="00D90791" w:rsidRDefault="00972DBB" w:rsidP="000A33FB">
            <w:pPr>
              <w:jc w:val="both"/>
            </w:pPr>
            <w:r w:rsidRPr="00D90791">
              <w:t>формирование земельных участков под объектами КС</w:t>
            </w:r>
            <w:r>
              <w:t xml:space="preserve"> (при необходимости)</w:t>
            </w:r>
          </w:p>
        </w:tc>
        <w:tc>
          <w:tcPr>
            <w:tcW w:w="2896" w:type="dxa"/>
          </w:tcPr>
          <w:p w:rsidR="00972DBB" w:rsidRPr="00D90791" w:rsidRDefault="00046D13" w:rsidP="000A33FB">
            <w:pPr>
              <w:jc w:val="center"/>
            </w:pPr>
            <w:r>
              <w:t>До 30.09</w:t>
            </w:r>
            <w:r w:rsidR="00972DBB">
              <w:t>.20</w:t>
            </w:r>
            <w:r>
              <w:t>20</w:t>
            </w:r>
          </w:p>
        </w:tc>
        <w:tc>
          <w:tcPr>
            <w:tcW w:w="2491" w:type="dxa"/>
          </w:tcPr>
          <w:p w:rsidR="00972DBB" w:rsidRPr="00D90791" w:rsidRDefault="00972DBB" w:rsidP="00046D13">
            <w:pPr>
              <w:jc w:val="center"/>
            </w:pPr>
            <w:r w:rsidRPr="00D90791">
              <w:t>Свидетельство о государственной регистрации права собственности</w:t>
            </w:r>
          </w:p>
          <w:p w:rsidR="00972DBB" w:rsidRPr="00D90791" w:rsidRDefault="00972DBB" w:rsidP="000A33FB">
            <w:pPr>
              <w:jc w:val="center"/>
              <w:rPr>
                <w:i/>
              </w:rPr>
            </w:pPr>
            <w:proofErr w:type="gramStart"/>
            <w:r w:rsidRPr="00D90791">
              <w:rPr>
                <w:i/>
              </w:rPr>
              <w:t>возможно</w:t>
            </w:r>
            <w:proofErr w:type="gramEnd"/>
            <w:r w:rsidRPr="00D90791">
              <w:rPr>
                <w:i/>
              </w:rPr>
              <w:t xml:space="preserve"> одновременно с  регистрацией прав муниципальной собственности на объект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договор аренды (субаренды) земельного участка должен быть заключен не позднее чем 60 рабочих дней со дня подписания КС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ст. 132 Гражданского кодекса РФ, ст. 4 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2.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Проведение технического обследования объектов КС.</w:t>
            </w:r>
          </w:p>
          <w:p w:rsidR="00972DBB" w:rsidRPr="00D90791" w:rsidRDefault="00972DBB" w:rsidP="00A8086F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Техническое обследование систем водоснабжения,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водоотведения </w:t>
            </w:r>
            <w:r w:rsidRPr="00D90791">
              <w:rPr>
                <w:szCs w:val="24"/>
              </w:rPr>
              <w:t>проводится организаци</w:t>
            </w:r>
            <w:r>
              <w:rPr>
                <w:szCs w:val="24"/>
              </w:rPr>
              <w:t>ями</w:t>
            </w:r>
            <w:r w:rsidRPr="00D90791">
              <w:rPr>
                <w:szCs w:val="24"/>
              </w:rPr>
              <w:t>, осуществляющ</w:t>
            </w:r>
            <w:r>
              <w:rPr>
                <w:szCs w:val="24"/>
              </w:rPr>
              <w:t>ими</w:t>
            </w:r>
            <w:r w:rsidRPr="00D90791">
              <w:rPr>
                <w:szCs w:val="24"/>
              </w:rPr>
              <w:t xml:space="preserve"> холодное водоснабжение и (или) водоотведение</w:t>
            </w:r>
            <w:r>
              <w:rPr>
                <w:szCs w:val="24"/>
              </w:rPr>
              <w:t xml:space="preserve">, </w:t>
            </w:r>
            <w:r w:rsidRPr="00D90791">
              <w:rPr>
                <w:szCs w:val="24"/>
              </w:rPr>
              <w:t>самостоятельно либо с</w:t>
            </w:r>
            <w:r>
              <w:rPr>
                <w:szCs w:val="24"/>
              </w:rPr>
              <w:t xml:space="preserve"> привлечением специализированных организаций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90 дней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акт технического обследования</w:t>
            </w:r>
          </w:p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lastRenderedPageBreak/>
              <w:t xml:space="preserve">ч.3 ст. 37 Федеральный закон от 07.12.2011 № </w:t>
            </w:r>
            <w:r w:rsidRPr="00D90791">
              <w:lastRenderedPageBreak/>
              <w:t xml:space="preserve">416-ФЗ «О водоснабжении и водоотведении»; </w:t>
            </w:r>
          </w:p>
          <w:p w:rsidR="00A8086F" w:rsidRPr="00D90791" w:rsidRDefault="00972DBB" w:rsidP="00A8086F">
            <w:pPr>
              <w:autoSpaceDE w:val="0"/>
              <w:autoSpaceDN w:val="0"/>
              <w:adjustRightInd w:val="0"/>
              <w:jc w:val="center"/>
            </w:pPr>
            <w:r w:rsidRPr="00D90791">
              <w:t>Приказ Минстроя России от 05.08.2014 № 437/</w:t>
            </w:r>
            <w:proofErr w:type="spellStart"/>
            <w:proofErr w:type="gramStart"/>
            <w:r w:rsidRPr="00D90791">
              <w:t>пр</w:t>
            </w:r>
            <w:proofErr w:type="spellEnd"/>
            <w:proofErr w:type="gramEnd"/>
            <w:r w:rsidRPr="00D90791">
              <w:t xml:space="preserve">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</w:t>
            </w:r>
            <w:r w:rsidRPr="00D90791">
              <w:lastRenderedPageBreak/>
              <w:t>осуществления мониторинга таких показателей</w:t>
            </w:r>
            <w:r w:rsidR="00A8086F">
              <w:t>»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3.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Принятие представительным органом решения о даче согласия на заключение КС:</w:t>
            </w:r>
          </w:p>
          <w:p w:rsidR="00972DBB" w:rsidRPr="00D90791" w:rsidRDefault="00972DBB" w:rsidP="00A8086F">
            <w:pPr>
              <w:jc w:val="both"/>
            </w:pPr>
            <w:r w:rsidRPr="00D90791">
              <w:t xml:space="preserve"> - подготовка обращения администрации </w:t>
            </w:r>
            <w:r>
              <w:t xml:space="preserve">муниципального образования </w:t>
            </w:r>
            <w:r w:rsidR="00A8086F">
              <w:t xml:space="preserve">Маганский сельсовет в </w:t>
            </w:r>
            <w:proofErr w:type="spellStart"/>
            <w:r w:rsidR="00A8086F">
              <w:t>маганский</w:t>
            </w:r>
            <w:proofErr w:type="spellEnd"/>
            <w:r w:rsidR="00A8086F">
              <w:t xml:space="preserve"> сельский Совет депутатов</w:t>
            </w:r>
            <w:r w:rsidRPr="00D90791">
              <w:t xml:space="preserve"> о даче согласия на организацию и проведение конкурса на право заключения КС с обоснованием необходимости передачи объектов по КС.</w:t>
            </w:r>
          </w:p>
        </w:tc>
        <w:tc>
          <w:tcPr>
            <w:tcW w:w="2896" w:type="dxa"/>
          </w:tcPr>
          <w:p w:rsidR="00972DBB" w:rsidRPr="00D90791" w:rsidRDefault="00A82304" w:rsidP="000A33FB">
            <w:pPr>
              <w:jc w:val="center"/>
            </w:pPr>
            <w:r>
              <w:t xml:space="preserve"> октябрь </w:t>
            </w:r>
            <w:r w:rsidR="00972DBB">
              <w:t xml:space="preserve"> 20</w:t>
            </w:r>
            <w:r w:rsidR="00A8086F">
              <w:t>20</w:t>
            </w:r>
          </w:p>
        </w:tc>
        <w:tc>
          <w:tcPr>
            <w:tcW w:w="2491" w:type="dxa"/>
          </w:tcPr>
          <w:p w:rsidR="00972DBB" w:rsidRPr="00D90791" w:rsidRDefault="00972DBB" w:rsidP="00A8086F">
            <w:pPr>
              <w:jc w:val="center"/>
            </w:pPr>
            <w:r w:rsidRPr="00D90791">
              <w:t xml:space="preserve">Решение </w:t>
            </w:r>
            <w:r w:rsidR="00A8086F">
              <w:t>Маганского сельского Совета депутатов</w:t>
            </w:r>
            <w:r>
              <w:t xml:space="preserve"> </w:t>
            </w:r>
            <w:r w:rsidRPr="00D90791">
              <w:t>о согласии на заключение КС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План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утвержденный Распоряжением Правительства РФ от 22.08.2011 № 1493-р</w:t>
            </w:r>
            <w:r>
              <w:t>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ст. 22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4</w:t>
            </w:r>
            <w:r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При</w:t>
            </w:r>
            <w:r>
              <w:t>нятие решения о передаче объектов</w:t>
            </w:r>
            <w:r w:rsidRPr="00D90791">
              <w:t xml:space="preserve"> коммунальной инфраструктуры в концессию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Принятие решения о заключении КС (администраци</w:t>
            </w:r>
            <w:r>
              <w:t>я</w:t>
            </w:r>
            <w:r w:rsidRPr="00D90791">
              <w:t xml:space="preserve"> </w:t>
            </w:r>
            <w:r>
              <w:t>муниципального образования</w:t>
            </w:r>
            <w:r w:rsidR="00A8086F">
              <w:t xml:space="preserve"> Маганский сельсовет)</w:t>
            </w:r>
            <w:r w:rsidRPr="00D90791">
              <w:t>.</w:t>
            </w:r>
          </w:p>
          <w:p w:rsidR="00972DBB" w:rsidRPr="00D90791" w:rsidRDefault="00972DBB" w:rsidP="00A8086F">
            <w:pPr>
              <w:autoSpaceDE w:val="0"/>
              <w:autoSpaceDN w:val="0"/>
              <w:adjustRightInd w:val="0"/>
              <w:jc w:val="both"/>
            </w:pPr>
            <w:r w:rsidRPr="00D90791">
              <w:t>Требования к содержанию решения установлены п.2, 2.1.,2.3., 2.4. ст.22 ФЗ-115.</w:t>
            </w:r>
          </w:p>
          <w:p w:rsidR="00972DBB" w:rsidRPr="00D90791" w:rsidRDefault="00972DBB" w:rsidP="000A33FB">
            <w:pPr>
              <w:jc w:val="both"/>
            </w:pPr>
            <w:r w:rsidRPr="00D90791">
              <w:t>Для принятия решения формируются: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Условия концессионного соглашения (условия конкурса):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rPr>
                <w:u w:val="single"/>
              </w:rPr>
              <w:t>п. 1, ст.10 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lastRenderedPageBreak/>
              <w:t>1) обязательства концессионера по созданию и (или) реконструкции объекта КС, соблюдению сроков его создания и (или) реконструкции;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2) обязательства концессионера по осуществлению деятельности, предусмотренной КС;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 xml:space="preserve">3) срок действия КС; 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i/>
              </w:rPr>
            </w:pPr>
            <w:r w:rsidRPr="00D90791">
              <w:rPr>
                <w:i/>
              </w:rPr>
              <w:t xml:space="preserve">(Срок действия КС устанавливается с учетом срока создания и (или) реконструкции объекта КС, объема инвестиций в создание и (или) реконструкцию объекта КС, срока окупаемости таких инвестиций, срока получения концессионером объема валовой выручки, определенных КС, срока исполнения других обязательств концессионера и (или) </w:t>
            </w:r>
            <w:proofErr w:type="spellStart"/>
            <w:r w:rsidRPr="00D90791">
              <w:rPr>
                <w:i/>
              </w:rPr>
              <w:t>концедента</w:t>
            </w:r>
            <w:proofErr w:type="spellEnd"/>
            <w:r w:rsidRPr="00D90791">
              <w:rPr>
                <w:i/>
              </w:rPr>
              <w:t xml:space="preserve"> по КС. </w:t>
            </w:r>
            <w:proofErr w:type="gramStart"/>
            <w:r w:rsidRPr="00D90791">
              <w:rPr>
                <w:i/>
              </w:rPr>
              <w:t xml:space="preserve">Срок действия КС может быть продлен, но не более чем на пять лет, по соглашению сторон на основании решения высшего органа исполнительной власти субъекта РФ либо администрации </w:t>
            </w:r>
            <w:r>
              <w:rPr>
                <w:i/>
              </w:rPr>
              <w:t xml:space="preserve">муниципального образования </w:t>
            </w:r>
            <w:r w:rsidR="00A8086F">
              <w:rPr>
                <w:i/>
              </w:rPr>
              <w:t xml:space="preserve">Маганский сельсовет, </w:t>
            </w:r>
            <w:r w:rsidRPr="00D90791">
              <w:rPr>
                <w:i/>
              </w:rPr>
              <w:t>ст.6 Федерального закона от 21.07.2005 № 115-ФЗ «О концессионных соглашениях»)</w:t>
            </w:r>
            <w:proofErr w:type="gramEnd"/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4) описание объекта КС, в том числе ТЭП;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4.1) срок передачи концессионеру объекта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5) порядок предоставления концессионеру земельных участков, срок заключения договоров аренды (субаренды);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6) цели и срок использования (эксплуатации) объекта КС;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D90791">
              <w:rPr>
                <w:szCs w:val="24"/>
              </w:rPr>
              <w:t xml:space="preserve">6.1) способы обеспечения исполнения концессионером обязательств по КС </w:t>
            </w:r>
            <w:r w:rsidRPr="00D90791">
              <w:rPr>
                <w:szCs w:val="24"/>
                <w:lang w:eastAsia="en-US"/>
              </w:rPr>
              <w:t>(предоставление безотзывной банковской гарантии)</w:t>
            </w:r>
            <w:r w:rsidRPr="00D90791">
              <w:rPr>
                <w:szCs w:val="24"/>
              </w:rPr>
              <w:t>, размеры предоставляемого обеспечения и срок, на который оно предоставляется;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6.2) размер концессионной платы, форму или формы, порядок и сроки ее внесения; 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0791">
              <w:rPr>
                <w:i/>
              </w:rPr>
              <w:t>В отношении объектов централизованных систем ХВС,</w:t>
            </w:r>
            <w:r>
              <w:rPr>
                <w:i/>
              </w:rPr>
              <w:t xml:space="preserve"> водоотведения, </w:t>
            </w:r>
            <w:r w:rsidRPr="00D90791">
              <w:rPr>
                <w:i/>
              </w:rPr>
              <w:t xml:space="preserve">отдельных объектов таких систем может быть предусмотрена концессионная плата, размер которой не может превышать уровень, рассчитанный исходя из принципа возмещения </w:t>
            </w:r>
            <w:proofErr w:type="spellStart"/>
            <w:r w:rsidRPr="00D90791">
              <w:rPr>
                <w:i/>
              </w:rPr>
              <w:t>концеденту</w:t>
            </w:r>
            <w:proofErr w:type="spellEnd"/>
            <w:r w:rsidRPr="00D90791">
              <w:rPr>
                <w:i/>
              </w:rPr>
              <w:t xml:space="preserve"> расходов на уплату им в период срока действия КС установленных законодательством РФ </w:t>
            </w:r>
            <w:r w:rsidRPr="00D90791">
              <w:rPr>
                <w:i/>
              </w:rPr>
              <w:lastRenderedPageBreak/>
              <w:t>обязательных платежей, связанных с правом владения объектом КС.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6.3) порядок возмещения расходов сторон в случае досрочного расторжения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6.4) обязательства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и (или) концессионера по подготовке территории, необходимой для создания и (или) реконструкции объекта КС и (или) для осуществления деятельности, предусмотренной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6.5) объем валовой выручки, получаемой концессионером в рамках реализации КС, в том числе на каждый год срока действия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7) иные существенные условия.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  <w:u w:val="single"/>
              </w:rPr>
              <w:t>п. 1.2. ст. 10 Федерального закона от 21.07.2005 № 115-ФЗ «О концессионных соглашениях»</w:t>
            </w:r>
            <w:r w:rsidRPr="00D90791">
              <w:rPr>
                <w:szCs w:val="24"/>
              </w:rPr>
              <w:t xml:space="preserve"> (дополнительно к п.2 следующие существенные условия):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1) значения долгосрочных параметров регулирования деятельности концессионера (долгосрочных параметров регулирования тарифов);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2) задание и основные мероприятия, определенные в соответствии со ст. 22 ФЗ-115, с описанием основных характеристик мероприятий;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3) предельный размер расходов концессионера на создание и (или) реконструкцию объекта КС, которые предполагается осуществлять в течение всего срока действия КС;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4) плановые значения показателей деятельности концессионера;</w:t>
            </w:r>
          </w:p>
          <w:p w:rsidR="00972DBB" w:rsidRPr="00D90791" w:rsidRDefault="00972DBB" w:rsidP="000A33FB">
            <w:pPr>
              <w:pStyle w:val="ConsPlusNormal"/>
              <w:jc w:val="both"/>
            </w:pPr>
            <w:r w:rsidRPr="00D90791">
              <w:rPr>
                <w:szCs w:val="24"/>
              </w:rPr>
              <w:t>5) порядок возмещения расходов концессионера, подлежащих возмещению и не возмещенных ему на момент окончания срока действия КС.</w:t>
            </w:r>
            <w:r w:rsidRPr="00D90791">
              <w:t xml:space="preserve"> 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D90791">
              <w:rPr>
                <w:szCs w:val="24"/>
                <w:u w:val="single"/>
                <w:lang w:eastAsia="en-US"/>
              </w:rPr>
              <w:t xml:space="preserve">п. 2. ст.10 </w:t>
            </w:r>
            <w:r w:rsidRPr="00D90791">
              <w:rPr>
                <w:szCs w:val="24"/>
                <w:u w:val="single"/>
              </w:rPr>
              <w:t>Федерального закона от 21.07.2005 № 115-ФЗ «О концессионных соглашениях»</w:t>
            </w:r>
            <w:r>
              <w:rPr>
                <w:szCs w:val="24"/>
                <w:lang w:eastAsia="en-US"/>
              </w:rPr>
              <w:t xml:space="preserve"> </w:t>
            </w:r>
            <w:r w:rsidRPr="00D90791">
              <w:rPr>
                <w:szCs w:val="24"/>
                <w:lang w:eastAsia="en-US"/>
              </w:rPr>
              <w:t>КС помимо предусмотренных существенных условий может содержать иные не противоречащие законодательству РФ условия (указаны в законе)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Критерии конкурса и параметры критериев конкурса:</w:t>
            </w:r>
          </w:p>
          <w:p w:rsidR="00972DBB" w:rsidRPr="00D90791" w:rsidRDefault="00972DBB" w:rsidP="000A33FB">
            <w:pPr>
              <w:jc w:val="both"/>
            </w:pPr>
            <w:r w:rsidRPr="00D90791">
              <w:rPr>
                <w:u w:val="single"/>
              </w:rPr>
              <w:t xml:space="preserve">(п.2.3, 2.4 ст. 24 Федерального закона от 21.07.2005 № 115-ФЗ </w:t>
            </w:r>
            <w:r w:rsidRPr="00D90791">
              <w:rPr>
                <w:u w:val="single"/>
              </w:rPr>
              <w:lastRenderedPageBreak/>
              <w:t>«О концессионных соглашениях»)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1) предельный размер расходов концессионера на создание и (или) реконструкцию объекта КС, на каждый год срока действия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bookmarkStart w:id="1" w:name="Par1"/>
            <w:bookmarkEnd w:id="1"/>
            <w:r w:rsidRPr="00D90791">
              <w:t xml:space="preserve">2) объем расходов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на создание и (или) реконструкцию объекта КС на каждый год срока действия КС (при указании в  решении о заключении КС о несении таких расходов);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bookmarkStart w:id="2" w:name="Par2"/>
            <w:bookmarkEnd w:id="2"/>
            <w:r w:rsidRPr="00D90791">
              <w:t xml:space="preserve">3) объем расходов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на использование (эксплуатацию) объекта КС на каждый год срока действия КС (при указании в  решении о заключении КС о несении таких расходов);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4) долгосрочные параметры регулирования деятельности концессионера </w:t>
            </w:r>
            <w:r w:rsidRPr="00D90791">
              <w:rPr>
                <w:u w:val="single"/>
              </w:rPr>
              <w:t>(п. 2.4 ст. 24 Федерального закона от 21.07.2005 № 115-ФЗ «О концессионных соглашениях»)</w:t>
            </w:r>
            <w:r w:rsidRPr="00D90791">
              <w:t>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 -  базовый уровень операционных расходов;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D90791">
              <w:t>показатели энергосбережения и энергетической эффективности;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 -  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 или метод доходности инвестированного капитала;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 -  нормативный уровень прибыли в случае, если конкурсной документацией предусмотрен метод индексации установленных тарифов или метод индексации.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5) плановые значения показателей деятельности концессионера;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6) плата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(если в качестве критериев конкурса не установлены критерии, указанные в </w:t>
            </w:r>
            <w:hyperlink w:anchor="Par1" w:history="1">
              <w:r w:rsidRPr="00D90791">
                <w:t>п. 2</w:t>
              </w:r>
            </w:hyperlink>
            <w:r w:rsidRPr="00D90791">
              <w:t xml:space="preserve"> и </w:t>
            </w:r>
            <w:hyperlink w:anchor="Par2" w:history="1">
              <w:r w:rsidRPr="00D90791">
                <w:t>3</w:t>
              </w:r>
            </w:hyperlink>
            <w:r w:rsidRPr="00D90791">
              <w:t xml:space="preserve"> и если решением о заключении концессионного соглашения, конкурсной документацией предусмотрена плата </w:t>
            </w:r>
            <w:proofErr w:type="spellStart"/>
            <w:r w:rsidRPr="00D90791">
              <w:t>концедента</w:t>
            </w:r>
            <w:proofErr w:type="spellEnd"/>
            <w:r w:rsidRPr="00D90791">
              <w:t>).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ind w:firstLine="3"/>
              <w:jc w:val="both"/>
            </w:pPr>
            <w:r w:rsidRPr="00D90791">
              <w:t>Вид конкурса (открытый / закрытый) (п.1, 2 ст. 21 ФЗ-115)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Перечень лиц - в случае проведения закрытого конкурса;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Срок опубликования в официальном издании, размещения на официальном сайте в </w:t>
            </w:r>
            <w:r>
              <w:t>«</w:t>
            </w:r>
            <w:r w:rsidRPr="00D90791">
              <w:t>Интернет</w:t>
            </w:r>
            <w:r>
              <w:t>»</w:t>
            </w:r>
            <w:r w:rsidRPr="00D90791">
              <w:t xml:space="preserve"> сообщения о проведении открытого конкурса или срок направления сообщения </w:t>
            </w:r>
            <w:r w:rsidRPr="00D90791">
              <w:lastRenderedPageBreak/>
              <w:t>участникам закрытого конкурса;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outlineLvl w:val="0"/>
            </w:pPr>
            <w:r w:rsidRPr="00D90791">
              <w:t xml:space="preserve">Состав сведений в сообщении  о проведении конкурса </w:t>
            </w:r>
            <w:proofErr w:type="gramStart"/>
            <w:r w:rsidRPr="00D90791">
              <w:t>указаны</w:t>
            </w:r>
            <w:proofErr w:type="gramEnd"/>
            <w:r w:rsidRPr="00D90791">
              <w:t xml:space="preserve"> в ст. 26. 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Орган, уполномоченный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на: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КС положений конкурсной документации;</w:t>
            </w:r>
          </w:p>
          <w:p w:rsidR="00972DBB" w:rsidRPr="00D90791" w:rsidRDefault="00972DBB" w:rsidP="000A33FB">
            <w:r w:rsidRPr="00D90791">
              <w:t>б) создание конкурсной комиссии по проведению конкурса, утверждение персонального состава конкурсной комиссии.</w:t>
            </w:r>
          </w:p>
        </w:tc>
        <w:tc>
          <w:tcPr>
            <w:tcW w:w="2896" w:type="dxa"/>
          </w:tcPr>
          <w:p w:rsidR="00972DBB" w:rsidRPr="00D90791" w:rsidRDefault="00A82304" w:rsidP="000A33FB">
            <w:pPr>
              <w:jc w:val="center"/>
            </w:pPr>
            <w:r>
              <w:lastRenderedPageBreak/>
              <w:t xml:space="preserve"> октябрь</w:t>
            </w:r>
            <w:r w:rsidR="00A8086F">
              <w:t xml:space="preserve"> </w:t>
            </w:r>
            <w:r w:rsidR="00972DBB">
              <w:t>20</w:t>
            </w:r>
            <w:r w:rsidR="00A8086F">
              <w:t>20</w:t>
            </w:r>
          </w:p>
        </w:tc>
        <w:tc>
          <w:tcPr>
            <w:tcW w:w="2491" w:type="dxa"/>
          </w:tcPr>
          <w:p w:rsidR="00972DBB" w:rsidRPr="00D90791" w:rsidRDefault="00972DBB" w:rsidP="00A8086F">
            <w:pPr>
              <w:jc w:val="center"/>
            </w:pPr>
            <w:r w:rsidRPr="00D90791">
              <w:t xml:space="preserve">Постановление администрации </w:t>
            </w:r>
            <w:r>
              <w:t xml:space="preserve">муниципального образования </w:t>
            </w:r>
            <w:r w:rsidR="00A8086F">
              <w:t>Маганский сельсовет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 xml:space="preserve">План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</w:t>
            </w:r>
            <w:r w:rsidRPr="00D90791">
              <w:lastRenderedPageBreak/>
              <w:t>системы коммунальной инфраструктуры, утвержденный Распоряжением Правительства РФ от 22.08.2011 № 1493-р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ст. 22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5</w:t>
            </w:r>
            <w:r>
              <w:t>.</w:t>
            </w:r>
          </w:p>
        </w:tc>
        <w:tc>
          <w:tcPr>
            <w:tcW w:w="6929" w:type="dxa"/>
          </w:tcPr>
          <w:p w:rsidR="00972DBB" w:rsidRPr="00D90791" w:rsidRDefault="00972DBB" w:rsidP="00A8086F">
            <w:pPr>
              <w:jc w:val="both"/>
            </w:pPr>
            <w:r w:rsidRPr="00D90791">
              <w:t xml:space="preserve">Направление администрацией </w:t>
            </w:r>
            <w:r>
              <w:t xml:space="preserve">муниципального образования </w:t>
            </w:r>
            <w:r w:rsidR="00A8086F">
              <w:t xml:space="preserve">Маганский сельсовет </w:t>
            </w:r>
            <w:r w:rsidRPr="00D90791">
              <w:t xml:space="preserve">в </w:t>
            </w:r>
            <w:r w:rsidR="00A8086F">
              <w:t xml:space="preserve"> Министерство тарифной политики Красноярского края  (далее – Министерство</w:t>
            </w:r>
            <w:proofErr w:type="gramStart"/>
            <w:r w:rsidR="00A8086F">
              <w:t xml:space="preserve"> </w:t>
            </w:r>
            <w:r w:rsidRPr="00054CE9">
              <w:t>)</w:t>
            </w:r>
            <w:proofErr w:type="gramEnd"/>
            <w:r w:rsidRPr="00D90791">
              <w:t xml:space="preserve"> следующей информации с целью обеспечения взаимодействия в подготовке конкурсной документации для заключения концессионного соглашения:</w:t>
            </w:r>
          </w:p>
        </w:tc>
        <w:tc>
          <w:tcPr>
            <w:tcW w:w="2896" w:type="dxa"/>
          </w:tcPr>
          <w:p w:rsidR="00972DBB" w:rsidRPr="00D90791" w:rsidRDefault="00A82304" w:rsidP="000A33FB">
            <w:pPr>
              <w:jc w:val="center"/>
            </w:pPr>
            <w:r>
              <w:t>Не позднее 01.03</w:t>
            </w:r>
            <w:r w:rsidR="00972DBB">
              <w:t>.20</w:t>
            </w:r>
            <w:r>
              <w:t>21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5.1.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- сведения о составе имущества, в отношении которых проводится конкурс;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наименование и рекви</w:t>
            </w:r>
            <w:r w:rsidR="00BB0CD1">
              <w:t>зиты организации, осуществляющей</w:t>
            </w:r>
            <w:r w:rsidRPr="00D90791">
              <w:t xml:space="preserve"> эксплуатацию имущества в какой либо период в течение последних 3 лет;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дата начала и срок действия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выбранный метод регулирования тарифов и предложение о его согласовании;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предлагаемые значения долгосрочных параметров регулирования и предложение об их согласовании;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запрос о предоставлении сведений о ценах, значениях и параметрах, подлежащих представлению органом регулирования организатору конкурса;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предлагаемые к включению в конкурсную документацию существенные условия (критерии) конкурса: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предельный максимальный размер расходов на создание (реконструкцию) объекта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- максимальный объем расходов, финансируемых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, </w:t>
            </w:r>
            <w:r w:rsidRPr="00D90791">
              <w:lastRenderedPageBreak/>
              <w:t>на создание (реконструкцию) объектов на каждый год действия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1) смета на предполагаемое строительство или предварительный расчет стоимости на основании рыночных стоимостей продукции;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 xml:space="preserve">2) расчет выплат </w:t>
            </w:r>
            <w:proofErr w:type="spellStart"/>
            <w:r w:rsidRPr="00D90791">
              <w:t>концедента</w:t>
            </w:r>
            <w:proofErr w:type="spellEnd"/>
            <w:r w:rsidRPr="00D90791">
              <w:t>, исходя из плановых лимитов бюджетных ассигнований на каждый год действия концессионного соглашения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proofErr w:type="spellStart"/>
            <w:r w:rsidRPr="00D90791">
              <w:t>пп</w:t>
            </w:r>
            <w:proofErr w:type="spellEnd"/>
            <w:r w:rsidRPr="00D90791">
              <w:t>. 1.2 ст. 24 Федерального закона от 21.07.2005 № 115-ФЗ «О концессионных соглашениях»;</w:t>
            </w:r>
          </w:p>
          <w:p w:rsidR="00972DBB" w:rsidRDefault="00972DBB" w:rsidP="000A33FB">
            <w:pPr>
              <w:jc w:val="center"/>
            </w:pPr>
            <w:r w:rsidRPr="00D90791">
              <w:t xml:space="preserve">п. 61 </w:t>
            </w:r>
            <w:hyperlink r:id="rId6" w:history="1">
              <w:r w:rsidRPr="00D90791">
                <w:rPr>
                  <w:color w:val="0000FF"/>
                </w:rPr>
                <w:t>Правил</w:t>
              </w:r>
            </w:hyperlink>
            <w:r w:rsidRPr="00D90791">
              <w:t xml:space="preserve"> регулирования тарифов в сфере водоснабжения и водоотведения, утвержденных Постановлением Правительства РФ от 13.05.2013 № 406</w:t>
            </w:r>
            <w:r>
              <w:t>;</w:t>
            </w:r>
          </w:p>
          <w:p w:rsidR="00972DBB" w:rsidRPr="00D90791" w:rsidRDefault="00972DBB" w:rsidP="000A33FB">
            <w:pPr>
              <w:jc w:val="center"/>
            </w:pPr>
          </w:p>
          <w:p w:rsidR="00972DBB" w:rsidRPr="00D90791" w:rsidRDefault="00972DBB" w:rsidP="000A33FB">
            <w:pPr>
              <w:jc w:val="center"/>
            </w:pPr>
            <w:proofErr w:type="spellStart"/>
            <w:r w:rsidRPr="00D90791">
              <w:t>пп</w:t>
            </w:r>
            <w:proofErr w:type="spellEnd"/>
            <w:r w:rsidRPr="00D90791">
              <w:t xml:space="preserve">. 2.3 ст. 24 Федерального закона от 21.07.2005 № 115-ФЗ «О концессионных </w:t>
            </w:r>
            <w:r w:rsidRPr="00D90791">
              <w:lastRenderedPageBreak/>
              <w:t>соглашениях»;</w:t>
            </w:r>
          </w:p>
          <w:p w:rsidR="00972DBB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 xml:space="preserve">п. 61 </w:t>
            </w:r>
            <w:hyperlink r:id="rId7" w:history="1">
              <w:r w:rsidRPr="00D90791">
                <w:rPr>
                  <w:color w:val="0000FF"/>
                </w:rPr>
                <w:t>Правил</w:t>
              </w:r>
            </w:hyperlink>
            <w:r w:rsidRPr="00D90791">
              <w:t xml:space="preserve"> регулирования тарифов в сфере водоснабжения и водоотведения, утвержденных Постановлением Правительства РФ от 13.05.2013 № 406</w:t>
            </w:r>
            <w:r>
              <w:t>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6929" w:type="dxa"/>
          </w:tcPr>
          <w:p w:rsidR="00972DBB" w:rsidRPr="00D90791" w:rsidRDefault="00972DBB" w:rsidP="00BB0CD1">
            <w:pPr>
              <w:jc w:val="both"/>
            </w:pPr>
            <w:proofErr w:type="gramStart"/>
            <w:r w:rsidRPr="00D90791">
              <w:t>пояснительная записка с указанием информации о проводимых мероприятиях по созданию (реконструкции) объектов с приложением календарного плана реализации, обоснования причин необходимости их внедрения, в т. ч. с учётом перспективного развития систем коммунальной инфраструктуры (показатели износа, количество аварий, проведенные ремонты, балансовая стоимость и т. д.) состав, технические паспорта, даты ввода в эксплуатацию, схем</w:t>
            </w:r>
            <w:r>
              <w:t>ы</w:t>
            </w:r>
            <w:r w:rsidRPr="00D90791">
              <w:t xml:space="preserve"> </w:t>
            </w:r>
            <w:r w:rsidRPr="003C61F9">
              <w:t>водоснабжения, водоотведения</w:t>
            </w:r>
            <w:r w:rsidR="00BB0CD1">
              <w:t>.</w:t>
            </w:r>
            <w:proofErr w:type="gramEnd"/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пояснительная записка, технические паспорта на существующее оборудование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proofErr w:type="spellStart"/>
            <w:r w:rsidRPr="00D90791">
              <w:t>пп</w:t>
            </w:r>
            <w:proofErr w:type="spellEnd"/>
            <w:r w:rsidRPr="00D90791">
              <w:t>. 1.2, 2 ст. 23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ED38F9" w:rsidRDefault="00972DBB" w:rsidP="000A33FB">
            <w:pPr>
              <w:jc w:val="center"/>
            </w:pPr>
            <w:r>
              <w:t>5.3.</w:t>
            </w:r>
          </w:p>
        </w:tc>
        <w:tc>
          <w:tcPr>
            <w:tcW w:w="6929" w:type="dxa"/>
          </w:tcPr>
          <w:p w:rsidR="00972DBB" w:rsidRPr="00ED38F9" w:rsidRDefault="00972DBB" w:rsidP="000A33FB">
            <w:pPr>
              <w:jc w:val="both"/>
            </w:pPr>
            <w:r w:rsidRPr="00ED38F9">
              <w:t xml:space="preserve">– данные о действующих </w:t>
            </w:r>
            <w:proofErr w:type="spellStart"/>
            <w:r w:rsidRPr="00ED38F9">
              <w:t>ресурсоснабжающих</w:t>
            </w:r>
            <w:proofErr w:type="spellEnd"/>
            <w:r w:rsidRPr="00ED38F9">
              <w:t xml:space="preserve"> организациях на объектах концессионного соглашения в базовый период, их фактических целевых показателях деятельности на объектах концессионного соглашения в базовый период (объёмы полезного отпуска, потерь, удельных расходов топлива, расходов электрической энергии и воды на выработку (подъем, отвод) единицы оказываемой услуги, показатели качества воды,  показатели надежности и бесперебойности водоснабжения и водоотведения, показатели очистки сточных вод, показатели эффективности использования ресурсов, в том числе уровень потерь воды, удельного расхода электрической </w:t>
            </w:r>
            <w:r>
              <w:t>э</w:t>
            </w:r>
            <w:r w:rsidRPr="00ED38F9">
              <w:t>нергии и т. д.);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– цены на энергетические ресурсы; 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– величины неподконтрольных расходов; 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метод регулирования тарифов;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предельный (максимальный) рост выручки;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задание (техническое задание)</w:t>
            </w:r>
          </w:p>
        </w:tc>
        <w:tc>
          <w:tcPr>
            <w:tcW w:w="2896" w:type="dxa"/>
          </w:tcPr>
          <w:p w:rsidR="00972DBB" w:rsidRPr="00ED38F9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3C61F9" w:rsidRDefault="00972DBB" w:rsidP="000A33FB">
            <w:pPr>
              <w:jc w:val="center"/>
            </w:pPr>
            <w:r w:rsidRPr="003C61F9">
              <w:t xml:space="preserve">1. копии </w:t>
            </w:r>
            <w:r w:rsidR="00BB0CD1">
              <w:t>решений об утверждении тарифов</w:t>
            </w:r>
          </w:p>
          <w:p w:rsidR="00972DBB" w:rsidRPr="003C61F9" w:rsidRDefault="00972DBB" w:rsidP="000A33FB">
            <w:pPr>
              <w:jc w:val="center"/>
            </w:pPr>
            <w:r w:rsidRPr="003C61F9">
              <w:t>2. акт технического обследования объектов;</w:t>
            </w:r>
          </w:p>
          <w:p w:rsidR="00972DBB" w:rsidRPr="003C61F9" w:rsidRDefault="00972DBB" w:rsidP="000A33FB">
            <w:pPr>
              <w:jc w:val="center"/>
            </w:pPr>
            <w:r w:rsidRPr="003C61F9">
              <w:t>3. дефектные ведомости;</w:t>
            </w:r>
          </w:p>
          <w:p w:rsidR="00972DBB" w:rsidRPr="00ED38F9" w:rsidRDefault="00972DBB" w:rsidP="00BB0CD1">
            <w:pPr>
              <w:jc w:val="center"/>
            </w:pPr>
            <w:r w:rsidRPr="003C61F9">
              <w:t>4. техническое задание, исходя из перспективного развития населенного пункта, и схем водоснабжения и водоотведения, схем комплексного развития</w:t>
            </w:r>
          </w:p>
        </w:tc>
        <w:tc>
          <w:tcPr>
            <w:tcW w:w="2843" w:type="dxa"/>
          </w:tcPr>
          <w:p w:rsidR="00972DBB" w:rsidRPr="00ED38F9" w:rsidRDefault="00972DBB" w:rsidP="000A33FB">
            <w:pPr>
              <w:jc w:val="center"/>
            </w:pPr>
            <w:r w:rsidRPr="00ED38F9">
              <w:t>п. 1.2 ст. 23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5.4.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 xml:space="preserve">предлагаемые к включению в конкурсную документацию </w:t>
            </w:r>
            <w:r w:rsidRPr="00D90791">
              <w:lastRenderedPageBreak/>
              <w:t xml:space="preserve">существенные условия (критерии) конкурса: </w:t>
            </w:r>
          </w:p>
          <w:p w:rsidR="00972DBB" w:rsidRPr="00D90791" w:rsidRDefault="00972DBB" w:rsidP="000A33FB">
            <w:pPr>
              <w:jc w:val="both"/>
            </w:pPr>
            <w:r w:rsidRPr="00D90791">
              <w:t>–</w:t>
            </w:r>
            <w:r>
              <w:t xml:space="preserve"> </w:t>
            </w:r>
            <w:r w:rsidRPr="00D90791">
              <w:t>значения долгосрочных параметров регулирования деятельности концессионера (размер инвестированного капитала при использовании метода доходности инвестированного капитала, базовый уровень операционных расходов, нормативный уровень прибыли в случае использования метода индексации установленных тарифов</w:t>
            </w:r>
            <w:r>
              <w:t xml:space="preserve"> – </w:t>
            </w:r>
            <w:r w:rsidRPr="00D90791">
              <w:t>процент от себестоимости в рамках тарифа на каждый год действия концессии);</w:t>
            </w:r>
          </w:p>
          <w:p w:rsidR="00972DBB" w:rsidRPr="00D90791" w:rsidRDefault="00972DBB" w:rsidP="000A33FB">
            <w:pPr>
              <w:jc w:val="both"/>
            </w:pPr>
            <w:r w:rsidRPr="00D90791">
              <w:t>– предельный максимальный размер расходов на создание (реконструкцию) объекта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>–</w:t>
            </w:r>
            <w:r>
              <w:t xml:space="preserve"> </w:t>
            </w:r>
            <w:r w:rsidRPr="00D90791">
              <w:t xml:space="preserve">максимальный объем расходов, финансируемых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на создание (реконструкцию) объектов на каждый год действия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– максимальный объем расходов, финансируемых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на эксплуатацию объектов на каждый год действия концессионного соглашения;</w:t>
            </w:r>
          </w:p>
          <w:p w:rsidR="00972DBB" w:rsidRDefault="00972DBB" w:rsidP="000A33FB">
            <w:pPr>
              <w:jc w:val="both"/>
            </w:pPr>
            <w:r w:rsidRPr="00D90791">
              <w:t>–</w:t>
            </w:r>
            <w:r>
              <w:t xml:space="preserve"> </w:t>
            </w:r>
            <w:r w:rsidRPr="00D90791">
              <w:t xml:space="preserve">минимальные значения плановых показателей надежности и энергетической </w:t>
            </w:r>
            <w:r w:rsidRPr="003C61F9">
              <w:t>эффективности (удельные расходы топлива, объем потерь, удельные расходы электрической энергии на выработку (подъем) единицы продукции, воды на единицу продукции)</w:t>
            </w:r>
          </w:p>
          <w:p w:rsidR="00972DBB" w:rsidRPr="00D90791" w:rsidRDefault="00972DBB" w:rsidP="000A33FB">
            <w:pPr>
              <w:jc w:val="both"/>
            </w:pPr>
            <w:r>
              <w:t xml:space="preserve">– </w:t>
            </w:r>
            <w:r w:rsidRPr="00D90791">
              <w:t>расчет плановых показателей, исходя из технических паспортов на предполагаемое к использованию современное оборудование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1. смета или </w:t>
            </w:r>
            <w:r w:rsidRPr="00D90791">
              <w:lastRenderedPageBreak/>
              <w:t>предварительное технико-экономическое обоснование себестоимости, расчет процента прибыли;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2.смета на предполагаемое строительство или предварительный расчет стоимости на основании рыночных стоимостей продукции;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 xml:space="preserve">3.расчет выплат </w:t>
            </w:r>
            <w:proofErr w:type="spellStart"/>
            <w:r w:rsidRPr="00D90791">
              <w:t>концедента</w:t>
            </w:r>
            <w:proofErr w:type="spellEnd"/>
            <w:r w:rsidRPr="00D90791">
              <w:t>, исходя из плановых лимитов бюджетных ассигнований на каждый год действия концессионного соглашения;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4.расчет плановых показателей, исходя из технических паспортов на предполагаемое к использованию современное оборудование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 xml:space="preserve">п. 2.3 ст. 24 </w:t>
            </w:r>
            <w:r w:rsidRPr="00D90791">
              <w:lastRenderedPageBreak/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ED38F9" w:rsidRDefault="00972DBB" w:rsidP="000A33FB">
            <w:pPr>
              <w:jc w:val="center"/>
            </w:pPr>
            <w:r w:rsidRPr="00ED38F9">
              <w:lastRenderedPageBreak/>
              <w:t>6</w:t>
            </w:r>
          </w:p>
        </w:tc>
        <w:tc>
          <w:tcPr>
            <w:tcW w:w="6929" w:type="dxa"/>
          </w:tcPr>
          <w:p w:rsidR="00972DBB" w:rsidRPr="00ED38F9" w:rsidRDefault="00972DBB" w:rsidP="000A33FB">
            <w:pPr>
              <w:jc w:val="both"/>
            </w:pPr>
            <w:r w:rsidRPr="00ED38F9">
              <w:t xml:space="preserve">Получение администрацией </w:t>
            </w:r>
            <w:r>
              <w:t xml:space="preserve">муниципального образования </w:t>
            </w:r>
            <w:r w:rsidR="00BB0CD1">
              <w:t xml:space="preserve"> Маганского сельсовета </w:t>
            </w:r>
            <w:r w:rsidRPr="00ED38F9">
              <w:t>в</w:t>
            </w:r>
            <w:r w:rsidR="00BB0CD1">
              <w:t xml:space="preserve"> Министерстве тарифной политики:</w:t>
            </w:r>
            <w:r w:rsidRPr="00ED38F9">
              <w:t xml:space="preserve"> </w:t>
            </w:r>
          </w:p>
          <w:p w:rsidR="00972DBB" w:rsidRPr="00ED38F9" w:rsidRDefault="00972DBB" w:rsidP="000A33FB">
            <w:pPr>
              <w:jc w:val="both"/>
            </w:pPr>
            <w:r>
              <w:t>1) заключения</w:t>
            </w:r>
            <w:r w:rsidRPr="00ED38F9">
              <w:t>, включающее: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– обоснование целесообразности внедрения мероприятий </w:t>
            </w:r>
            <w:r w:rsidRPr="00ED38F9">
              <w:lastRenderedPageBreak/>
              <w:t>проекта (или части мероприятий);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оценку стоимости планируемых мероприятий;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проверку проекта инвестиционной программы;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проверку календарного плана выполнения мероприятий по проекту;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заключение достоверности представленных плановых показателей энергетической эффективности и надежности рекомендации об их корректировке;</w:t>
            </w:r>
          </w:p>
          <w:p w:rsidR="00972DBB" w:rsidRPr="00ED38F9" w:rsidRDefault="00972DBB" w:rsidP="000A33FB">
            <w:pPr>
              <w:jc w:val="both"/>
            </w:pPr>
            <w:r w:rsidRPr="00ED38F9">
              <w:t>2) сведения и значения необходимые организатору конкурса для включения в конку</w:t>
            </w:r>
            <w:r w:rsidR="00BB0CD1">
              <w:t>рсную документацию на заключение</w:t>
            </w:r>
            <w:r w:rsidRPr="00ED38F9">
              <w:t xml:space="preserve"> концессионного соглашения: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- объем отпуска </w:t>
            </w:r>
            <w:r>
              <w:t>в</w:t>
            </w:r>
            <w:r w:rsidRPr="00ED38F9">
              <w:t>оды и (или) водоотведения в году, предшествующем первому году действия концессионного соглашения, а также прогноз объема отпуска</w:t>
            </w:r>
            <w:r>
              <w:t xml:space="preserve"> </w:t>
            </w:r>
            <w:r w:rsidRPr="00ED38F9">
              <w:t>воды и (или) водоотведения на срок действия такого концессионного соглашения;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цены на энергетические ресурсы в году, предшествующем году действия концессионного соглашения, и прогноз цен на энергетические ресурсы на срок действия концессионного соглашения;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потери и удельное потребление энергетических ресурсов на единицу</w:t>
            </w:r>
            <w:r w:rsidRPr="00127397">
              <w:rPr>
                <w:sz w:val="21"/>
                <w:szCs w:val="21"/>
              </w:rPr>
              <w:t xml:space="preserve"> </w:t>
            </w:r>
            <w:r w:rsidRPr="00ED38F9">
              <w:t>объема отпуска воды и (или) водоотведения в году, предшествующему первому году действия концессионного соглашения (по каждому виду используемого энергетического ресурса);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- величина неподконтрольных </w:t>
            </w:r>
            <w:proofErr w:type="gramStart"/>
            <w:r w:rsidRPr="00ED38F9">
              <w:t>расходов</w:t>
            </w:r>
            <w:proofErr w:type="gramEnd"/>
            <w:r w:rsidRPr="00ED38F9">
              <w:t xml:space="preserve"> определяемая</w:t>
            </w:r>
            <w:r w:rsidRPr="00127397">
              <w:rPr>
                <w:sz w:val="21"/>
                <w:szCs w:val="21"/>
              </w:rPr>
              <w:t xml:space="preserve"> </w:t>
            </w:r>
            <w:r w:rsidRPr="00127397">
              <w:t>в соответствии с</w:t>
            </w:r>
            <w:r>
              <w:t xml:space="preserve"> основами ц</w:t>
            </w:r>
            <w:r w:rsidRPr="00127397">
              <w:t xml:space="preserve">енообразования </w:t>
            </w:r>
            <w:r w:rsidRPr="00ED38F9">
              <w:t>в соответствии с нормативно правовыми актами Российской Федерации в сфере водоснабжения и водоотведения (за исключением расходов на энергетические ресурсы, концессионной платы и налога на прибыль организаций);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предельные (минимальные и (или) максимальные) значения критериев конкурса;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- предельный (максимальный) рост необходимой валовой выручки концессионера от осуществления регулируемых видов </w:t>
            </w:r>
            <w:r w:rsidRPr="00ED38F9">
              <w:lastRenderedPageBreak/>
              <w:t>деятельности</w:t>
            </w:r>
            <w:r>
              <w:t xml:space="preserve"> в сфере теплоснабжения и</w:t>
            </w:r>
            <w:r w:rsidRPr="00ED38F9">
              <w:t xml:space="preserve"> предусмотренной нормативными правовыми актами Российской Федерации в сфере водоснабжения и водоотведения, по отношению к каждому предыдущему году;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иные цены, величины, значения, параметры, использование которых для расчета тарифов предусмотрено нормативными правовыми актами Российской Федерации;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согласование метода регулирования тарифов;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комментарии по расчету предельных расходов на создание (реконструкцию) объекта концессионного соглашения.</w:t>
            </w:r>
          </w:p>
        </w:tc>
        <w:tc>
          <w:tcPr>
            <w:tcW w:w="2896" w:type="dxa"/>
          </w:tcPr>
          <w:p w:rsidR="00972DBB" w:rsidRPr="00ED38F9" w:rsidRDefault="00A82304" w:rsidP="000A33FB">
            <w:pPr>
              <w:jc w:val="center"/>
            </w:pPr>
            <w:r>
              <w:lastRenderedPageBreak/>
              <w:t>Не позднее 01.06</w:t>
            </w:r>
            <w:r w:rsidR="00972DBB">
              <w:t>.20</w:t>
            </w:r>
            <w:r w:rsidR="0039130E">
              <w:t>21</w:t>
            </w:r>
          </w:p>
        </w:tc>
        <w:tc>
          <w:tcPr>
            <w:tcW w:w="2491" w:type="dxa"/>
          </w:tcPr>
          <w:p w:rsidR="00972DBB" w:rsidRPr="00ED38F9" w:rsidRDefault="00972DBB" w:rsidP="000A33FB">
            <w:pPr>
              <w:jc w:val="center"/>
            </w:pPr>
            <w:r w:rsidRPr="00ED38F9">
              <w:t>Заключение</w:t>
            </w:r>
          </w:p>
        </w:tc>
        <w:tc>
          <w:tcPr>
            <w:tcW w:w="2843" w:type="dxa"/>
          </w:tcPr>
          <w:p w:rsidR="00972DBB" w:rsidRPr="00ED38F9" w:rsidRDefault="00972DBB" w:rsidP="000A33FB">
            <w:pPr>
              <w:jc w:val="center"/>
            </w:pPr>
            <w:r w:rsidRPr="00ED38F9">
              <w:t xml:space="preserve">п. 3.3 ст. 13 Федерального закона от 21.07.2005 № 115-ФЗ «О концессионных </w:t>
            </w:r>
            <w:r w:rsidRPr="00ED38F9">
              <w:lastRenderedPageBreak/>
              <w:t>соглашениях»;</w:t>
            </w:r>
            <w:r>
              <w:t xml:space="preserve"> Постановление Правительства РФ от </w:t>
            </w:r>
          </w:p>
          <w:p w:rsidR="00972DBB" w:rsidRPr="00ED38F9" w:rsidRDefault="00972DBB" w:rsidP="000A33FB">
            <w:pPr>
              <w:jc w:val="center"/>
            </w:pPr>
            <w:r w:rsidRPr="00ED38F9">
              <w:t>16.05.2014 № 45</w:t>
            </w:r>
            <w:r>
              <w:t>2</w:t>
            </w:r>
            <w:r w:rsidRPr="00ED38F9">
              <w:t xml:space="preserve">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</w:t>
            </w:r>
          </w:p>
          <w:p w:rsidR="00972DBB" w:rsidRPr="00ED38F9" w:rsidRDefault="00972DBB" w:rsidP="000A33FB">
            <w:pPr>
              <w:jc w:val="center"/>
            </w:pPr>
            <w:r w:rsidRPr="00ED38F9">
              <w:t>Приказ Минстроя России от 04.04.2014 № 162/</w:t>
            </w:r>
            <w:proofErr w:type="spellStart"/>
            <w:r w:rsidRPr="00ED38F9">
              <w:t>пр</w:t>
            </w:r>
            <w:proofErr w:type="spellEnd"/>
            <w:r w:rsidRPr="00ED38F9">
      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</w:t>
            </w:r>
            <w:r w:rsidRPr="00ED38F9">
              <w:lastRenderedPageBreak/>
              <w:t>холодного водоснабжения и (или) водоотведения, порядка и правил определения плановых значений и фактических значений таких показателей»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lastRenderedPageBreak/>
              <w:t>7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Разработка и утверждение конкурсной документации  с уче</w:t>
            </w:r>
            <w:r>
              <w:t>т</w:t>
            </w:r>
            <w:r w:rsidRPr="00D90791">
              <w:t>ом полученной информации и опубликование извещения.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Требования к конкурсной документации на право заключения концессионного соглашения установлены в </w:t>
            </w:r>
            <w:hyperlink r:id="rId8" w:history="1">
              <w:r w:rsidRPr="00D90791">
                <w:rPr>
                  <w:color w:val="0000FF"/>
                </w:rPr>
                <w:t>ст. 23</w:t>
              </w:r>
            </w:hyperlink>
            <w:r w:rsidRPr="00D90791">
              <w:t xml:space="preserve"> ФЗ-115. 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0791">
              <w:rPr>
                <w:i/>
              </w:rPr>
              <w:t xml:space="preserve">Минстрой России подготовил типовую конкурсную документацию по проведению открытого конкурса на право заключения концессионного соглашения в отношении объектов коммунальной инфраструктуры с учетом законодательства Российской Федерации о концессионных соглашениях. </w:t>
            </w:r>
          </w:p>
          <w:p w:rsidR="00972DBB" w:rsidRPr="00D90791" w:rsidRDefault="00972DBB" w:rsidP="000A33FB">
            <w:pPr>
              <w:jc w:val="both"/>
            </w:pPr>
            <w:r w:rsidRPr="00D90791">
              <w:rPr>
                <w:i/>
              </w:rPr>
              <w:t>Указанная документация размещена на официальном сайте министерства в разделе "Документы" - "Конкурсная документация по проведению открытого конкурса на право заключения концессионного соглашения в отношении системы коммунальной инфраструктуры" http://minstroyrf.ru/docs/3603/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Сообщение о проведении конкурса опубликовывается конкурсной комиссией в определяемом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официальном издании и размещается на официальном сайте в информационно-телекоммуникационной сети Интернет</w:t>
            </w:r>
          </w:p>
        </w:tc>
        <w:tc>
          <w:tcPr>
            <w:tcW w:w="2896" w:type="dxa"/>
          </w:tcPr>
          <w:p w:rsidR="00972DBB" w:rsidRPr="00D90791" w:rsidRDefault="00A82304" w:rsidP="000A33F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Не позднее 01.06</w:t>
            </w:r>
            <w:r w:rsidR="0039130E">
              <w:t>.2021</w:t>
            </w:r>
            <w:r w:rsidR="00972DBB">
              <w:t xml:space="preserve"> г. (</w:t>
            </w:r>
            <w:r w:rsidR="00972DBB" w:rsidRPr="00D90791">
              <w:t>в срок, установленный конкурсной документацией, но не менее чем за 30 рабочих дней до дня истечения срока представления заявок на участие в конкурсе</w:t>
            </w:r>
            <w:r w:rsidR="00972DBB">
              <w:t>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15159" w:type="dxa"/>
            <w:gridSpan w:val="4"/>
          </w:tcPr>
          <w:p w:rsidR="00972DBB" w:rsidRPr="00D90791" w:rsidRDefault="00972DBB" w:rsidP="000A33FB">
            <w:pPr>
              <w:pStyle w:val="ConsPlusNormal"/>
              <w:ind w:firstLine="540"/>
              <w:jc w:val="center"/>
              <w:rPr>
                <w:szCs w:val="24"/>
              </w:rPr>
            </w:pPr>
            <w:r w:rsidRPr="00D90791">
              <w:rPr>
                <w:szCs w:val="24"/>
                <w:lang w:val="en-US"/>
              </w:rPr>
              <w:t>II</w:t>
            </w:r>
            <w:r w:rsidRPr="00D90791">
              <w:rPr>
                <w:szCs w:val="24"/>
              </w:rPr>
              <w:t>. Проведение конкурса по заключению концессионного соглашения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8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ED38F9" w:rsidRDefault="00972DBB" w:rsidP="000A33FB">
            <w:pPr>
              <w:jc w:val="both"/>
            </w:pPr>
            <w:r w:rsidRPr="00D90791">
              <w:t>Подача заявок на участие в конкурсе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не менее чем за тридцать рабочих дней до дня истечения срока представления заявок на участие в конкурсе (иначе - тридцать </w:t>
            </w:r>
            <w:r w:rsidRPr="00D90791">
              <w:lastRenderedPageBreak/>
              <w:t>рабочих дней со дня публикации сообщения о проведении конкурса)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26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lastRenderedPageBreak/>
              <w:t>9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  <w:rPr>
                <w:i/>
              </w:rPr>
            </w:pPr>
            <w:r w:rsidRPr="00D90791"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в порядке, в день, во время и в месте, </w:t>
            </w:r>
            <w:proofErr w:type="gramStart"/>
            <w:r w:rsidRPr="00D90791">
              <w:t>которые</w:t>
            </w:r>
            <w:proofErr w:type="gramEnd"/>
            <w:r w:rsidRPr="00D90791">
              <w:t xml:space="preserve"> установлены конкурсной документацией</w:t>
            </w:r>
          </w:p>
          <w:p w:rsidR="00972DBB" w:rsidRPr="00D90791" w:rsidRDefault="00972DBB" w:rsidP="000A33FB">
            <w:pPr>
              <w:jc w:val="center"/>
            </w:pPr>
            <w:r w:rsidRPr="00D90791">
              <w:rPr>
                <w:i/>
              </w:rPr>
              <w:t>(в день окончания приема заявок)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28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10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r w:rsidRPr="00D90791">
              <w:t>Проведение предварительного отбора участников конкурса, составление и подписание протокола предварительного отбора.</w:t>
            </w:r>
          </w:p>
          <w:p w:rsidR="00972DBB" w:rsidRPr="00D90791" w:rsidRDefault="00972DBB" w:rsidP="000A33FB">
            <w:r w:rsidRPr="00D90791">
              <w:t>Проводится в установленном конкурсной документацией порядке.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требуется не менее двух рабочих дней на рассмотрение вскрытых конвертов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29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11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 xml:space="preserve">Направление участникам конкурса уведомлений с предложением представить конкурсные предложения 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течение трех рабочих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4. ст. 29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rPr>
          <w:trHeight w:val="762"/>
        </w:trPr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2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>в срок не менее шестидесяти рабочих дней с момента направления уведомлений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3" w:type="dxa"/>
          </w:tcPr>
          <w:p w:rsidR="00972DBB" w:rsidRPr="002E357E" w:rsidRDefault="00972DBB" w:rsidP="000A33FB">
            <w:pPr>
              <w:jc w:val="center"/>
            </w:pPr>
            <w:r w:rsidRPr="002E357E">
              <w:t>ч. 1. ст. 31 Федерального закона от 21.07.2005 № 115-ФЗ «О концессионных соглашениях»</w:t>
            </w:r>
          </w:p>
          <w:p w:rsidR="00972DBB" w:rsidRPr="002E357E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3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  <w:rPr>
                <w:i/>
              </w:rPr>
            </w:pPr>
            <w:r w:rsidRPr="00D90791">
              <w:t>Рассмотрение и оценка конкурсных предложений, составление и подписание протокола  рассмотрения и оценки конкурсных предложений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установленном конкурсной документацией порядке</w:t>
            </w:r>
          </w:p>
          <w:p w:rsidR="00972DBB" w:rsidRPr="00D90791" w:rsidRDefault="00972DBB" w:rsidP="000A33FB">
            <w:pPr>
              <w:jc w:val="center"/>
            </w:pPr>
            <w:r w:rsidRPr="00D90791">
              <w:rPr>
                <w:i/>
              </w:rPr>
              <w:t>(требуется порядка семи рабочих дней на рассмотрение и оценку конкурсных предложений)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2E357E" w:rsidRDefault="00972DBB" w:rsidP="000A33FB">
            <w:pPr>
              <w:jc w:val="center"/>
            </w:pPr>
            <w:r w:rsidRPr="002E357E">
              <w:t>ч. 1. ст. 32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1</w:t>
            </w:r>
            <w:r>
              <w:t>4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Подведение итогов, определение победителя и подписание протокола о результатах проведения конкурса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не позднее чем через пять рабочих дней со дня подписания протокола рассмотрения и оценки конкурсных предложений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34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5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течение пятнадцати рабочих дней со дня подписания протокола о результатах проведения конкурса</w:t>
            </w:r>
          </w:p>
          <w:p w:rsidR="00972DBB" w:rsidRPr="00D90791" w:rsidRDefault="00972DBB" w:rsidP="000A33FB">
            <w:pPr>
              <w:jc w:val="center"/>
            </w:pPr>
            <w:r w:rsidRPr="00D90791">
              <w:rPr>
                <w:i/>
              </w:rPr>
              <w:t>(достаточно двух рабочих дней для оформления и размещения на сайте протокола)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 xml:space="preserve">ч. 1. ст. 35 </w:t>
            </w:r>
            <w:r w:rsidRPr="00ED38F9">
              <w:t>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6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972DBB" w:rsidRPr="00D90791" w:rsidRDefault="00972DBB" w:rsidP="000A33FB">
            <w:pPr>
              <w:jc w:val="center"/>
            </w:pP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течение пяти рабочих дней со дня подписания протокола о результатах проведения конкурса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в срок, установленный конкурсной документацией и указанный в сообщении о проведении конкурса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( не ранее 10 рабочих дней и не позднее 30 рабочих дней со дня публикации протокола о результатах проведения конкурса)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36 </w:t>
            </w:r>
            <w:r w:rsidRPr="00ED38F9">
              <w:t>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7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Заключение договора аренды земельного участка, занятого объектом КС, на срок действия концессионного договора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 xml:space="preserve">не позднее чем через шестьдесят рабочих дней со дня подписания концессионного соглашения, если иные </w:t>
            </w:r>
            <w:r w:rsidRPr="00D90791">
              <w:rPr>
                <w:szCs w:val="24"/>
              </w:rPr>
              <w:lastRenderedPageBreak/>
              <w:t>сроки не установлены конкурсной документацией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 xml:space="preserve">ст.11 </w:t>
            </w:r>
            <w:r w:rsidRPr="00ED38F9">
              <w:rPr>
                <w:szCs w:val="24"/>
              </w:rPr>
              <w:t>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72DBB" w:rsidRPr="00D90791" w:rsidTr="000A33FB">
        <w:trPr>
          <w:trHeight w:val="281"/>
        </w:trPr>
        <w:tc>
          <w:tcPr>
            <w:tcW w:w="15735" w:type="dxa"/>
            <w:gridSpan w:val="5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III</w:t>
            </w:r>
            <w:r w:rsidRPr="00D90791">
              <w:t>. Осуществление контроля за исполнением концессионного соглашения</w:t>
            </w:r>
          </w:p>
        </w:tc>
      </w:tr>
      <w:tr w:rsidR="00972DBB" w:rsidRPr="00D90791" w:rsidTr="000A33FB">
        <w:trPr>
          <w:trHeight w:val="550"/>
        </w:trPr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18.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outlineLvl w:val="0"/>
            </w:pPr>
            <w:r w:rsidRPr="00D90791">
              <w:t>осуществление контроля за исполнением концессионного соглашения, контроль за содержанием и стоимостью проекта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ст. 9 Федерального закона от 21.07.2005 № 115-ФЗ «О концессионных соглашениях»;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DBB" w:rsidRPr="00D90791" w:rsidTr="000A33FB">
        <w:trPr>
          <w:trHeight w:val="550"/>
        </w:trPr>
        <w:tc>
          <w:tcPr>
            <w:tcW w:w="15735" w:type="dxa"/>
            <w:gridSpan w:val="5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 w:rsidRPr="00395F69">
              <w:t>.</w:t>
            </w:r>
            <w:r>
              <w:rPr>
                <w:lang w:val="en-US"/>
              </w:rPr>
              <w:t> </w:t>
            </w:r>
            <w:r w:rsidRPr="00D90791">
              <w:t>Мероприятия, завершающие реализацию концессионного соглашения</w:t>
            </w:r>
          </w:p>
        </w:tc>
      </w:tr>
      <w:tr w:rsidR="00972DBB" w:rsidRPr="00D90791" w:rsidTr="000A33FB">
        <w:trPr>
          <w:trHeight w:val="550"/>
        </w:trPr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19.</w:t>
            </w:r>
          </w:p>
        </w:tc>
        <w:tc>
          <w:tcPr>
            <w:tcW w:w="6929" w:type="dxa"/>
          </w:tcPr>
          <w:p w:rsidR="00972DBB" w:rsidRPr="00D90791" w:rsidRDefault="00972DBB" w:rsidP="000A33FB">
            <w:r w:rsidRPr="00D90791">
              <w:t>Контроль выполненных работ с подписанием актов выполненных работ, актов приема-передачи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акты выполненных работ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>ст.14 Федерального закона от 21.07.2005 № 115-ФЗ «О концессионных соглашениях»</w:t>
            </w:r>
          </w:p>
        </w:tc>
      </w:tr>
    </w:tbl>
    <w:p w:rsidR="00972DBB" w:rsidRDefault="00972DBB" w:rsidP="00FC2AB4"/>
    <w:sectPr w:rsidR="00972DBB" w:rsidSect="00972DBB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0F"/>
    <w:rsid w:val="0000782D"/>
    <w:rsid w:val="00012758"/>
    <w:rsid w:val="00046D13"/>
    <w:rsid w:val="00076077"/>
    <w:rsid w:val="000C41F5"/>
    <w:rsid w:val="000D755F"/>
    <w:rsid w:val="001855B8"/>
    <w:rsid w:val="001F1A61"/>
    <w:rsid w:val="002452B5"/>
    <w:rsid w:val="00277C8A"/>
    <w:rsid w:val="002A0954"/>
    <w:rsid w:val="002D1DE7"/>
    <w:rsid w:val="00321F21"/>
    <w:rsid w:val="003871E9"/>
    <w:rsid w:val="0039130E"/>
    <w:rsid w:val="004E3EA1"/>
    <w:rsid w:val="005910F2"/>
    <w:rsid w:val="005B12E9"/>
    <w:rsid w:val="00657554"/>
    <w:rsid w:val="006A381D"/>
    <w:rsid w:val="006D1620"/>
    <w:rsid w:val="0076269E"/>
    <w:rsid w:val="00854390"/>
    <w:rsid w:val="008D3D38"/>
    <w:rsid w:val="009066FD"/>
    <w:rsid w:val="009122CA"/>
    <w:rsid w:val="009725C3"/>
    <w:rsid w:val="00972DBB"/>
    <w:rsid w:val="009B275E"/>
    <w:rsid w:val="009B455B"/>
    <w:rsid w:val="009B6389"/>
    <w:rsid w:val="009D71AF"/>
    <w:rsid w:val="00A8086F"/>
    <w:rsid w:val="00A82304"/>
    <w:rsid w:val="00AD6BB3"/>
    <w:rsid w:val="00B1082D"/>
    <w:rsid w:val="00B57A79"/>
    <w:rsid w:val="00B6110B"/>
    <w:rsid w:val="00B75586"/>
    <w:rsid w:val="00BA21BC"/>
    <w:rsid w:val="00BB0CD1"/>
    <w:rsid w:val="00C44A5F"/>
    <w:rsid w:val="00C755EE"/>
    <w:rsid w:val="00C90DD4"/>
    <w:rsid w:val="00CA3582"/>
    <w:rsid w:val="00CB50ED"/>
    <w:rsid w:val="00D148FC"/>
    <w:rsid w:val="00D51FB4"/>
    <w:rsid w:val="00D8027E"/>
    <w:rsid w:val="00EB7088"/>
    <w:rsid w:val="00FC2AB4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styleId="a6">
    <w:name w:val="Hyperlink"/>
    <w:rsid w:val="00FC2AB4"/>
    <w:rPr>
      <w:rFonts w:cs="Times New Roman"/>
      <w:color w:val="0000FF"/>
      <w:u w:val="single"/>
    </w:rPr>
  </w:style>
  <w:style w:type="paragraph" w:customStyle="1" w:styleId="ConsPlusNormal">
    <w:name w:val="ConsPlusNormal"/>
    <w:rsid w:val="00972DBB"/>
    <w:pPr>
      <w:widowControl w:val="0"/>
      <w:autoSpaceDE w:val="0"/>
      <w:autoSpaceDN w:val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styleId="a6">
    <w:name w:val="Hyperlink"/>
    <w:rsid w:val="00FC2AB4"/>
    <w:rPr>
      <w:rFonts w:cs="Times New Roman"/>
      <w:color w:val="0000FF"/>
      <w:u w:val="single"/>
    </w:rPr>
  </w:style>
  <w:style w:type="paragraph" w:customStyle="1" w:styleId="ConsPlusNormal">
    <w:name w:val="ConsPlusNormal"/>
    <w:rsid w:val="00972DBB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DBBC8239FB9E3921F2C4DC8E2238632ED504CC733D8778EA5B96834DF444F69EC7722B5226335B4N9T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7BF5BD7B56367601BCE14D5DA69F58A2C7D3C3FD8922C9E21E6E89A25E7B7FE68D36AE967C002O2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57BF5BD7B56367601BCE14D5DA69F58A2C7D3C3FD8922C9E21E6E89A25E7B7FE68D36AE967C002O2B3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3009</Words>
  <Characters>22490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10</cp:revision>
  <cp:lastPrinted>2020-09-11T03:18:00Z</cp:lastPrinted>
  <dcterms:created xsi:type="dcterms:W3CDTF">2017-02-02T09:49:00Z</dcterms:created>
  <dcterms:modified xsi:type="dcterms:W3CDTF">2020-09-11T07:19:00Z</dcterms:modified>
</cp:coreProperties>
</file>